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9C" w:rsidRDefault="00D5659C" w:rsidP="00D5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659C" w:rsidRDefault="00D5659C" w:rsidP="00D5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</w:t>
      </w:r>
    </w:p>
    <w:p w:rsidR="00D5659C" w:rsidRDefault="00D5659C" w:rsidP="00D5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 ФЕДЕРАЦИЯ</w:t>
      </w:r>
    </w:p>
    <w:p w:rsidR="00D5659C" w:rsidRDefault="00D5659C" w:rsidP="00D5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КАРАЧАЕВО-ЧЕРКЕССКАЯ РЕСПУБЛИКА</w:t>
      </w:r>
    </w:p>
    <w:p w:rsidR="00D5659C" w:rsidRDefault="00D5659C" w:rsidP="00D5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УСТЬ-ДЖЕГУТИНСКИЙ  МУНИЦИПАЛЬНЫЙ РАЙОН</w:t>
      </w:r>
    </w:p>
    <w:p w:rsidR="00D5659C" w:rsidRDefault="00D5659C" w:rsidP="00D5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КОЙДАНСКОГО  СЕЛЬСКОГО  ПОСЕЛЕНИЯ</w:t>
      </w:r>
    </w:p>
    <w:p w:rsidR="00D5659C" w:rsidRDefault="00D5659C" w:rsidP="00D5659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</w:p>
    <w:p w:rsidR="00D5659C" w:rsidRDefault="00D5659C" w:rsidP="00D5659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РЕШЕНИЕ</w:t>
      </w:r>
    </w:p>
    <w:p w:rsidR="00D5659C" w:rsidRDefault="00D5659C" w:rsidP="00D5659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</w:t>
      </w:r>
    </w:p>
    <w:p w:rsidR="00D5659C" w:rsidRDefault="00D5659C" w:rsidP="00D5659C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26.11. 2014                  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Койдан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84</w:t>
      </w:r>
    </w:p>
    <w:p w:rsidR="00D5659C" w:rsidRDefault="00D5659C" w:rsidP="00D5659C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составе, порядке подготовки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утверждения  нормативов градостроительного проектирования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Койданского сельского поселения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обеспечения благоприятных условий жизнедеятельности населения  Койданского сельского поселения в соответствии со статьями 8, 24 Градостроительного кодекса Российской Федерации Совет Койданского сельского поселения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РЕШИЛ: 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1. Утвердить Положение "О составе, порядке подготовки и утверждения нормативов градостроительного проектирования Койданского сельского поселения" согласно приложению.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2. Настоящее решение вступает в силу со дня его официального опубликования (обнародования) в установленном порядке.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 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Койданского</w:t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А.М.Болатчиев</w:t>
      </w:r>
      <w:proofErr w:type="spellEnd"/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659C" w:rsidRDefault="00D5659C" w:rsidP="00D565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D5659C" w:rsidRDefault="00D5659C" w:rsidP="00D5659C">
      <w:pPr>
        <w:jc w:val="center"/>
        <w:rPr>
          <w:rFonts w:ascii="Times New Roman" w:hAnsi="Times New Roman"/>
          <w:sz w:val="24"/>
          <w:szCs w:val="24"/>
        </w:rPr>
      </w:pPr>
    </w:p>
    <w:p w:rsidR="00D5659C" w:rsidRDefault="00D5659C" w:rsidP="00D565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D5659C" w:rsidRDefault="00D5659C" w:rsidP="00D565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Приложение                                                                                           </w:t>
      </w:r>
    </w:p>
    <w:p w:rsidR="00D5659C" w:rsidRDefault="00D5659C" w:rsidP="00D565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Койданского  сельского поселения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от    26.11. 2014         №</w:t>
      </w:r>
      <w:r>
        <w:rPr>
          <w:rFonts w:ascii="Times New Roman" w:hAnsi="Times New Roman"/>
          <w:sz w:val="24"/>
          <w:szCs w:val="24"/>
        </w:rPr>
        <w:t xml:space="preserve"> 84</w:t>
      </w:r>
      <w:r>
        <w:rPr>
          <w:rFonts w:ascii="Times New Roman" w:hAnsi="Times New Roman"/>
          <w:sz w:val="24"/>
          <w:szCs w:val="24"/>
        </w:rPr>
        <w:br/>
      </w:r>
    </w:p>
    <w:p w:rsidR="00D5659C" w:rsidRDefault="00D5659C" w:rsidP="00D5659C">
      <w:pPr>
        <w:jc w:val="center"/>
        <w:rPr>
          <w:rFonts w:ascii="Times New Roman" w:hAnsi="Times New Roman"/>
          <w:sz w:val="24"/>
          <w:szCs w:val="24"/>
        </w:rPr>
      </w:pPr>
    </w:p>
    <w:p w:rsidR="00D5659C" w:rsidRDefault="00D5659C" w:rsidP="00D5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br/>
        <w:t xml:space="preserve">                       О СОСТАВЕ, ПОРЯДКЕ ПОДГОТОВКИ И УТВЕРЖДЕНИЯ </w:t>
      </w:r>
      <w:r>
        <w:rPr>
          <w:rFonts w:ascii="Times New Roman" w:hAnsi="Times New Roman"/>
          <w:sz w:val="24"/>
          <w:szCs w:val="24"/>
        </w:rPr>
        <w:br/>
        <w:t xml:space="preserve">                   НОРМАТИВОВ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КОЙДАНСКОГО СЕЛЬСКОГО ПОСЕЛЕНИЯ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Настоящее Положение разработано в соответствии с требованиями Градостроительного кодекса Российской Федерации и устанавливает состав, порядок подготовки и утверждения местных нормативов градостроительного проектирования. Требования настоящего Положения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самоуправлении Койданского  сельского поселения,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1. Общие положения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 местными нормативами градостроительного проектирования  Койданского сельского поселения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учитываемыми при подготовке проекта генерального плана, документации по планировке (проектов планировки, проектов межевания) Койданского   сельского поселения. </w:t>
      </w:r>
      <w:r>
        <w:rPr>
          <w:rFonts w:ascii="Times New Roman" w:hAnsi="Times New Roman"/>
          <w:sz w:val="28"/>
          <w:szCs w:val="28"/>
        </w:rPr>
        <w:br/>
        <w:t>2.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Местные нормативы градостроительного проектирования разрабатываются за счет средств бюджета Койданского сельского поселения.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Местные нормативы градостроительного проектирования принимаются в форме нормативного правового акта, утверждаемого решением Совета Койданского сельского поселения.</w:t>
      </w:r>
    </w:p>
    <w:p w:rsidR="00D5659C" w:rsidRDefault="00D5659C" w:rsidP="00D5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человека: </w:t>
      </w:r>
      <w:r>
        <w:rPr>
          <w:rFonts w:ascii="Times New Roman" w:hAnsi="Times New Roman"/>
          <w:sz w:val="28"/>
          <w:szCs w:val="28"/>
        </w:rPr>
        <w:br/>
        <w:t xml:space="preserve">1.1 Расчетные показатели обеспеченности и интенсивности использования территорий жилых зон: </w:t>
      </w:r>
      <w:r>
        <w:rPr>
          <w:rFonts w:ascii="Times New Roman" w:hAnsi="Times New Roman"/>
          <w:sz w:val="28"/>
          <w:szCs w:val="28"/>
        </w:rPr>
        <w:br/>
        <w:t xml:space="preserve">- нормативы для определения потребности в территории жилых зон в зависимости от типа застройки; </w:t>
      </w:r>
      <w:r>
        <w:rPr>
          <w:rFonts w:ascii="Times New Roman" w:hAnsi="Times New Roman"/>
          <w:sz w:val="28"/>
          <w:szCs w:val="28"/>
        </w:rPr>
        <w:br/>
        <w:t xml:space="preserve">- нормативы предоставления земельных участков для индивидуального жилищного строительства; </w:t>
      </w:r>
      <w:r>
        <w:rPr>
          <w:rFonts w:ascii="Times New Roman" w:hAnsi="Times New Roman"/>
          <w:sz w:val="28"/>
          <w:szCs w:val="28"/>
        </w:rPr>
        <w:br/>
        <w:t>- нормативы предельно допустимых параметров плотности застройки участков индивидуального жилищного строительства;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плотности населения на территории жилой застройки; </w:t>
      </w:r>
      <w:r>
        <w:rPr>
          <w:rFonts w:ascii="Times New Roman" w:hAnsi="Times New Roman"/>
          <w:sz w:val="28"/>
          <w:szCs w:val="28"/>
        </w:rPr>
        <w:br/>
        <w:t xml:space="preserve">- нормативы жилищной обеспеченности; </w:t>
      </w:r>
      <w:r>
        <w:rPr>
          <w:rFonts w:ascii="Times New Roman" w:hAnsi="Times New Roman"/>
          <w:sz w:val="28"/>
          <w:szCs w:val="28"/>
        </w:rPr>
        <w:br/>
        <w:t xml:space="preserve">- нормативы минимально допустимых размеров площадок дворового благоустройства и расстояния от окон жилых и общественных зданий до площадок;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между жилыми домами;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окон жилых домов до построек, расположенных на соседнем участке; </w:t>
      </w:r>
      <w:r>
        <w:rPr>
          <w:rFonts w:ascii="Times New Roman" w:hAnsi="Times New Roman"/>
          <w:sz w:val="28"/>
          <w:szCs w:val="28"/>
        </w:rPr>
        <w:br/>
        <w:t>- нормативы расстояния от окон жилых домов до построек для содержания скота и птицы;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площади застройки сблокированных хозяйственных построек для содержания скота;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до границ соседнего участка от построек, стволов деревьев и кустарников;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до красной линии от построек на приусадебном земельном участке;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детскими дошкольными учреждениями и размеры их земельных участков; </w:t>
      </w:r>
      <w:r>
        <w:rPr>
          <w:rFonts w:ascii="Times New Roman" w:hAnsi="Times New Roman"/>
          <w:sz w:val="28"/>
          <w:szCs w:val="28"/>
        </w:rPr>
        <w:br/>
        <w:t>- нормативы радиуса обслуживания детскими дошкольными учреждениями на территориях населенных пунктов;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обеспеченности общеобразовательными учреждениями и размеры их земельных участков;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- нормативы радиуса обслуживания общеобразовательными учреждениями на территориях населенных пунктов;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стен зданий общеобразовательных школ и границ земельных участков детских дошкольных учреждений до красной линии; </w:t>
      </w:r>
      <w:r>
        <w:rPr>
          <w:rFonts w:ascii="Times New Roman" w:hAnsi="Times New Roman"/>
          <w:sz w:val="28"/>
          <w:szCs w:val="28"/>
        </w:rPr>
        <w:br/>
        <w:t xml:space="preserve">- нормативы площади озелененной и благоустроенной территории микрорайона (квартала); </w:t>
      </w:r>
      <w:r>
        <w:rPr>
          <w:rFonts w:ascii="Times New Roman" w:hAnsi="Times New Roman"/>
          <w:sz w:val="28"/>
          <w:szCs w:val="28"/>
        </w:rPr>
        <w:br/>
        <w:t>- нормативы накопления твердых бытовых отходов (ТБО) для населения;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расположения водозаборных сооружений нецентрализованного водоснабжения. </w:t>
      </w:r>
      <w:r>
        <w:rPr>
          <w:rFonts w:ascii="Times New Roman" w:hAnsi="Times New Roman"/>
          <w:sz w:val="28"/>
          <w:szCs w:val="28"/>
        </w:rPr>
        <w:br/>
        <w:t xml:space="preserve">1.2 Расчетные показатели обеспеченности и интенсивности использования территорий общественно-деловых зон: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учреждениями внешкольного образования межшкольными учебно-производственными предприятиями и размеры их земельных участков;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средними специальными, профессионально-техническими и высшими учебными заведениями размеры их земельных участков; </w:t>
      </w:r>
      <w:r>
        <w:rPr>
          <w:rFonts w:ascii="Times New Roman" w:hAnsi="Times New Roman"/>
          <w:sz w:val="28"/>
          <w:szCs w:val="28"/>
        </w:rPr>
        <w:br/>
        <w:t>- нормативы обеспеченности спортивными и физкультурно-оздоровительными учреждениями и размер их земельного участка;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учреждениями культуры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учреждениями здравоохранения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расстояние от стен зданий учреждений здравоохранения до красной линии;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предприятиями торговли и общественного питания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предприятиями бытового обслуживания населения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организациями и учреждениями управления, кредитно-финансовыми и проектными организациями, а также предприятиями связи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предприятиями жилищно-коммунального хозяйства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нормативы радиуса обслуживания учреждениями социального и коммунально-бытового обеспечения; </w:t>
      </w:r>
      <w:r>
        <w:rPr>
          <w:rFonts w:ascii="Times New Roman" w:hAnsi="Times New Roman"/>
          <w:sz w:val="28"/>
          <w:szCs w:val="28"/>
        </w:rPr>
        <w:br/>
        <w:t xml:space="preserve">- нормативы радиуса обслуживания пожарных депо; </w:t>
      </w:r>
      <w:r>
        <w:rPr>
          <w:rFonts w:ascii="Times New Roman" w:hAnsi="Times New Roman"/>
          <w:sz w:val="28"/>
          <w:szCs w:val="28"/>
        </w:rPr>
        <w:br/>
        <w:t xml:space="preserve">-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 - </w:t>
      </w:r>
      <w:r>
        <w:rPr>
          <w:rFonts w:ascii="Times New Roman" w:hAnsi="Times New Roman"/>
          <w:sz w:val="28"/>
          <w:szCs w:val="28"/>
        </w:rPr>
        <w:lastRenderedPageBreak/>
        <w:t xml:space="preserve">просветительских и учреждений социального обеспечения; </w:t>
      </w:r>
      <w:r>
        <w:rPr>
          <w:rFonts w:ascii="Times New Roman" w:hAnsi="Times New Roman"/>
          <w:sz w:val="28"/>
          <w:szCs w:val="28"/>
        </w:rPr>
        <w:br/>
        <w:t xml:space="preserve">-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культурно-просветительских и учреждений социального обеспечения; </w:t>
      </w:r>
      <w:r>
        <w:rPr>
          <w:rFonts w:ascii="Times New Roman" w:hAnsi="Times New Roman"/>
          <w:sz w:val="28"/>
          <w:szCs w:val="28"/>
        </w:rPr>
        <w:br/>
        <w:t xml:space="preserve">-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школами-интернатами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специализированными объектами социального обеспечения и размер их земельного участка. </w:t>
      </w:r>
      <w:r>
        <w:rPr>
          <w:rFonts w:ascii="Times New Roman" w:hAnsi="Times New Roman"/>
          <w:sz w:val="28"/>
          <w:szCs w:val="28"/>
        </w:rPr>
        <w:br/>
        <w:t xml:space="preserve">1.3. Расчетные показатели обеспеченности и интенсивности использования территорий с учетом потребностей мало мобильных групп населения: </w:t>
      </w:r>
      <w:r>
        <w:rPr>
          <w:rFonts w:ascii="Times New Roman" w:hAnsi="Times New Roman"/>
          <w:sz w:val="28"/>
          <w:szCs w:val="28"/>
        </w:rPr>
        <w:br/>
        <w:t xml:space="preserve">- специализированные жилые дома или группа квартир для инвалидов колясочников;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местами парковки для индивидуального автотранспорта инвалида;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жилых зданий до мест хранения индивидуального транспорта инвалида;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расстояния от входа в общественные здание, доступное для инвалидов, до остановки специализированных средств общественного транспорта, перевозящих инвалидов;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жилых зданий, в которых проживают инвалиды, до остановки специализированных средств общественного транспорта, перевозящих инвалидов;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машины места для парковки индивидуального транспорта инвалида; </w:t>
      </w:r>
      <w:r>
        <w:rPr>
          <w:rFonts w:ascii="Times New Roman" w:hAnsi="Times New Roman"/>
          <w:sz w:val="28"/>
          <w:szCs w:val="28"/>
        </w:rPr>
        <w:br/>
        <w:t>- нормативы размера земельного участка крытого бокса для хранения индивидуального транспорта инвалида;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ширина зоны для парковки автомобиля инвалида.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Расчетные показатели обеспеченности и интенсивности использований территорий рекреационных зон: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территории населенного пункта зелеными насаждениями общего пользования; </w:t>
      </w:r>
      <w:r>
        <w:rPr>
          <w:rFonts w:ascii="Times New Roman" w:hAnsi="Times New Roman"/>
          <w:sz w:val="28"/>
          <w:szCs w:val="28"/>
        </w:rPr>
        <w:br/>
        <w:t xml:space="preserve">- нормативы площади территорий общего пользования (парки, скверы, сады) и зеленых устройств декоративного назначения; </w:t>
      </w:r>
      <w:r>
        <w:rPr>
          <w:rFonts w:ascii="Times New Roman" w:hAnsi="Times New Roman"/>
          <w:sz w:val="28"/>
          <w:szCs w:val="28"/>
        </w:rPr>
        <w:br/>
        <w:t xml:space="preserve">- нормативы по озеленению  территории парков и садов;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расчетного числа единовременных посетителей территорий </w:t>
      </w:r>
      <w:r>
        <w:rPr>
          <w:rFonts w:ascii="Times New Roman" w:hAnsi="Times New Roman"/>
          <w:sz w:val="28"/>
          <w:szCs w:val="28"/>
        </w:rPr>
        <w:lastRenderedPageBreak/>
        <w:t xml:space="preserve">парков; </w:t>
      </w:r>
      <w:r>
        <w:rPr>
          <w:rFonts w:ascii="Times New Roman" w:hAnsi="Times New Roman"/>
          <w:sz w:val="28"/>
          <w:szCs w:val="28"/>
        </w:rPr>
        <w:br/>
        <w:t>- нормативы расстояний от зданий, сооружений и объектов инженерного благоустройства до деревьев и кустарников;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нормативы доступности зон массового кратковременного отдыха на транспорте; </w:t>
      </w:r>
      <w:r>
        <w:rPr>
          <w:rFonts w:ascii="Times New Roman" w:hAnsi="Times New Roman"/>
          <w:sz w:val="28"/>
          <w:szCs w:val="28"/>
        </w:rPr>
        <w:br/>
        <w:t xml:space="preserve">- нормативы площади территории зон массового кратковременного отдыха;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учреждениями отдыха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и железных дорог.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Расчетные показатели обеспеченности и интенсивности использования территорий садоводческих и огороднических объединений: </w:t>
      </w:r>
      <w:r>
        <w:rPr>
          <w:rFonts w:ascii="Times New Roman" w:hAnsi="Times New Roman"/>
          <w:sz w:val="28"/>
          <w:szCs w:val="28"/>
        </w:rPr>
        <w:br/>
        <w:t xml:space="preserve">- нормативы предоставления земельных участков для садоводства, огородничества и дачного строительства;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автомобильных и железных дорог до садоводческих и огороднических объединений;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застройки на территории садоводческих и огороднических объединений до лесных массивов; </w:t>
      </w:r>
      <w:r>
        <w:rPr>
          <w:rFonts w:ascii="Times New Roman" w:hAnsi="Times New Roman"/>
          <w:sz w:val="28"/>
          <w:szCs w:val="28"/>
        </w:rPr>
        <w:br/>
        <w:t>- нормативы размеров площадок общего пользования на территориях садоводческих и огороднических объединений;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площадки мусоросборников до границ садовых участков; </w:t>
      </w:r>
      <w:r>
        <w:rPr>
          <w:rFonts w:ascii="Times New Roman" w:hAnsi="Times New Roman"/>
          <w:sz w:val="28"/>
          <w:szCs w:val="28"/>
        </w:rPr>
        <w:br/>
        <w:t xml:space="preserve">- нормативы ширины улиц и проездов в красных линиях на территории садоводческих и огороднических объединений. </w:t>
      </w:r>
      <w:r>
        <w:rPr>
          <w:rFonts w:ascii="Times New Roman" w:hAnsi="Times New Roman"/>
          <w:sz w:val="28"/>
          <w:szCs w:val="28"/>
        </w:rPr>
        <w:br/>
        <w:t xml:space="preserve">Расчетные показатели обеспеченности и интенсивности использования сооружений для хранения и обслуживания транспортных средств: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местами постоянного хранения индивидуального автотранспорта;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мест постоянного хранения индивидуального автотранспорта до жилой застройки;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местами парковки для учреждений и предприятий обслуживания;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гаражных сооружений и открытых стоянок автомобилей до жилых домов, участков общеобразовательных школ, детских дошкольных и лечебных учреждений;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земельного участка гаражей и стоянок автомобилей в зависимости от этажности);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земельного участка гаражей и парков транспортных;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- нормативы размера земельного участка открытых стоянок; </w:t>
      </w:r>
      <w:r>
        <w:rPr>
          <w:rFonts w:ascii="Times New Roman" w:hAnsi="Times New Roman"/>
          <w:sz w:val="28"/>
          <w:szCs w:val="28"/>
        </w:rPr>
        <w:br/>
        <w:t xml:space="preserve">- нормативы удаленности въездов и выездов во встроенные гаражи от окон жилых и общественных зданий, зон отдыха, игровых площадок и участков лечебных учреждений;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земельного участка автозаправочной станции (АЗС) в зависимости от количества раздаточных колонок;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расстояния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зданий; </w:t>
      </w:r>
      <w:r>
        <w:rPr>
          <w:rFonts w:ascii="Times New Roman" w:hAnsi="Times New Roman"/>
          <w:sz w:val="28"/>
          <w:szCs w:val="28"/>
        </w:rPr>
        <w:br/>
        <w:t xml:space="preserve">- нормативы мощности АЗС и расстояние между ними вне пределов населенных пунктов на автомобильных дорогах с различной интенсивностью движения; </w:t>
      </w:r>
      <w:r>
        <w:rPr>
          <w:rFonts w:ascii="Times New Roman" w:hAnsi="Times New Roman"/>
          <w:sz w:val="28"/>
          <w:szCs w:val="28"/>
        </w:rPr>
        <w:br/>
        <w:t>- нормативы размера земельного участка станции технического обслуживания (СТО);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мощности СТО и расстояние между ними вне пределов населенных пунктов на автомобильных дорогах с различной интенсивностью движения;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СТО до жилых домов, участков общеобразовательных школ, детских дошкольных и лечебных учреждений;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между площадками отдыха вне пределов населенных пунктов на автомобильных дорогах различных категорий; </w:t>
      </w:r>
      <w:r>
        <w:rPr>
          <w:rFonts w:ascii="Times New Roman" w:hAnsi="Times New Roman"/>
          <w:sz w:val="28"/>
          <w:szCs w:val="28"/>
        </w:rPr>
        <w:br/>
        <w:t>- нормативы вместимости площадок отдыха из расчета на одновременную остановку;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участка при одноярусном хранении судов прогулочного и спортивного флота.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Расчетные показатели обеспеченности и интенсивности использования территорий зон транспортной инфраструктуры: </w:t>
      </w:r>
      <w:r>
        <w:rPr>
          <w:rFonts w:ascii="Times New Roman" w:hAnsi="Times New Roman"/>
          <w:sz w:val="28"/>
          <w:szCs w:val="28"/>
        </w:rPr>
        <w:br/>
        <w:t xml:space="preserve">- нормативы уровня автомобилизации; </w:t>
      </w:r>
      <w:r>
        <w:rPr>
          <w:rFonts w:ascii="Times New Roman" w:hAnsi="Times New Roman"/>
          <w:sz w:val="28"/>
          <w:szCs w:val="28"/>
        </w:rPr>
        <w:br/>
        <w:t xml:space="preserve">- параметры и категории улиц и дорог различных категорий в границах населенных пунктов;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разворотных площадок на тупиковых улицах и дорогах; </w:t>
      </w:r>
      <w:r>
        <w:rPr>
          <w:rFonts w:ascii="Times New Roman" w:hAnsi="Times New Roman"/>
          <w:sz w:val="28"/>
          <w:szCs w:val="28"/>
        </w:rPr>
        <w:br/>
        <w:t xml:space="preserve">- нормативы ширины одной полосы движения пешеходных тротуаров, улиц и дорог; </w:t>
      </w:r>
      <w:r>
        <w:rPr>
          <w:rFonts w:ascii="Times New Roman" w:hAnsi="Times New Roman"/>
          <w:sz w:val="28"/>
          <w:szCs w:val="28"/>
        </w:rPr>
        <w:br/>
        <w:t>- нормативы пропускной способности одной полосы движения для тротуаров;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плотности сети общественного пассажирского транспорта на застроенных территориях;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до ближайшей остановки общественного пассажирского транспорта от жилых домов, объектов массового посещения и </w:t>
      </w:r>
      <w:r>
        <w:rPr>
          <w:rFonts w:ascii="Times New Roman" w:hAnsi="Times New Roman"/>
          <w:sz w:val="28"/>
          <w:szCs w:val="28"/>
        </w:rPr>
        <w:lastRenderedPageBreak/>
        <w:t xml:space="preserve">зон массового отдыха населения;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между остановочными пунктами общественного пассажирского транспорта; </w:t>
      </w:r>
      <w:r>
        <w:rPr>
          <w:rFonts w:ascii="Times New Roman" w:hAnsi="Times New Roman"/>
          <w:sz w:val="28"/>
          <w:szCs w:val="28"/>
        </w:rPr>
        <w:br/>
        <w:t>- нормативы радиусы дорог, при которых, в зависимости от категории дороги, допускается располагать остановки общественного транспорта;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размещения остановки общественного транспорта вне пределов населенных пунктов на автомобильных дорогах различных категорий;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между остановочными пунктами общественного пассажирского транспорта вне пределов населенных пунктов на дорогах I - III категории;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между пешеходными переходами;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между въездами и сквозными проездами в зданиях на территорию микрорайона;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расстояния от места пересечения проезда, с проезжей частью магистральной улицы регулируемого движения до стоп линии перекрестка и остановки общественного транспорта;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края основной проезжей части магистральных улиц и дорог, местных или боковых проездов до линии регулирования застройки; </w:t>
      </w:r>
      <w:r>
        <w:rPr>
          <w:rFonts w:ascii="Times New Roman" w:hAnsi="Times New Roman"/>
          <w:sz w:val="28"/>
          <w:szCs w:val="28"/>
        </w:rPr>
        <w:br/>
        <w:t xml:space="preserve">- нормативы протяженности тупиковых проездов; </w:t>
      </w:r>
      <w:r>
        <w:rPr>
          <w:rFonts w:ascii="Times New Roman" w:hAnsi="Times New Roman"/>
          <w:sz w:val="28"/>
          <w:szCs w:val="28"/>
        </w:rPr>
        <w:br/>
        <w:t>- нормативы радиуса закругления бортов, проезжей части улиц и дорог по кромке тротуаров и разделительных полос;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размера прямоугольного треугольника видимости;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бровки земельного полотна автомобильных дорог различной категорий до границы жилой застройки; </w:t>
      </w:r>
      <w:r>
        <w:rPr>
          <w:rFonts w:ascii="Times New Roman" w:hAnsi="Times New Roman"/>
          <w:sz w:val="28"/>
          <w:szCs w:val="28"/>
        </w:rPr>
        <w:br/>
        <w:t xml:space="preserve">- нормативы ширины снегозащитных лесонасаждений и расстояние от бровки земляного полотна до этих насаждений с каждой стороны дороги. </w:t>
      </w:r>
      <w:r>
        <w:rPr>
          <w:rFonts w:ascii="Times New Roman" w:hAnsi="Times New Roman"/>
          <w:sz w:val="28"/>
          <w:szCs w:val="28"/>
        </w:rPr>
        <w:br/>
        <w:t xml:space="preserve">1.4 Расчетные показатели обеспеченности и интенсивности использования территорий коммунально-складских и производственных зон </w:t>
      </w:r>
      <w:r>
        <w:rPr>
          <w:rFonts w:ascii="Times New Roman" w:hAnsi="Times New Roman"/>
          <w:sz w:val="28"/>
          <w:szCs w:val="28"/>
        </w:rPr>
        <w:br/>
        <w:t>- нормативы размера земельных участков складов, предназначенных для обслуживания населения;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нормативы обеспеченности  </w:t>
      </w:r>
      <w:proofErr w:type="spellStart"/>
      <w:r>
        <w:rPr>
          <w:rFonts w:ascii="Times New Roman" w:hAnsi="Times New Roman"/>
          <w:sz w:val="28"/>
          <w:szCs w:val="28"/>
        </w:rPr>
        <w:t>общетоварными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складами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нормативы обеспеченности специализированными складами и размер их земельного участка;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земельного участка складов строительных материалов и твердого топлива; </w:t>
      </w:r>
      <w:r>
        <w:rPr>
          <w:rFonts w:ascii="Times New Roman" w:hAnsi="Times New Roman"/>
          <w:sz w:val="28"/>
          <w:szCs w:val="28"/>
        </w:rPr>
        <w:br/>
        <w:t xml:space="preserve">- нормативы вместимости складов для вахтовых и экспедиционных поселков;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санитарно-защитной зоны для овоще, картофеле 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фрукто</w:t>
      </w:r>
      <w:proofErr w:type="spellEnd"/>
      <w:r>
        <w:rPr>
          <w:rFonts w:ascii="Times New Roman" w:hAnsi="Times New Roman"/>
          <w:sz w:val="28"/>
          <w:szCs w:val="28"/>
        </w:rPr>
        <w:t xml:space="preserve"> хранилище; </w:t>
      </w:r>
      <w:r>
        <w:rPr>
          <w:rFonts w:ascii="Times New Roman" w:hAnsi="Times New Roman"/>
          <w:sz w:val="28"/>
          <w:szCs w:val="28"/>
        </w:rPr>
        <w:br/>
        <w:t>- нормативы площади озеленения санитарно-защитных зон промышленных предприятий;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нормативы ширины полосы древесно-кустарниковых насаждений, со стороны селитебной территории, в составе санитарно-защитной зоны предприятий;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земельных участков предприятий и сооружений по транспортировке, обезвреживанию и переработке бытовых отходов;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помещений (сооружений) для содержания и разведения животных до объектов жилой застройки.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Расчетные показатели обеспеченности и интенсивности использования территорий зон инженерной инфраструктуры: </w:t>
      </w:r>
      <w:r>
        <w:rPr>
          <w:rFonts w:ascii="Times New Roman" w:hAnsi="Times New Roman"/>
          <w:sz w:val="28"/>
          <w:szCs w:val="28"/>
        </w:rPr>
        <w:br/>
        <w:t xml:space="preserve">- укрупненные показатели обеспеченности населения объектами инженерного благоустройства;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земельного участка для размещения понизительных подстанций; </w:t>
      </w:r>
      <w:r>
        <w:rPr>
          <w:rFonts w:ascii="Times New Roman" w:hAnsi="Times New Roman"/>
          <w:sz w:val="28"/>
          <w:szCs w:val="28"/>
        </w:rPr>
        <w:br/>
        <w:t xml:space="preserve">- нормативы расстояния от отдельно стоящих распределительных пунктов и трансформаторных подстанций в зависимости от количества и мощности трансформаторов;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земельного участка для размещения котельных; </w:t>
      </w:r>
      <w:r>
        <w:rPr>
          <w:rFonts w:ascii="Times New Roman" w:hAnsi="Times New Roman"/>
          <w:sz w:val="28"/>
          <w:szCs w:val="28"/>
        </w:rPr>
        <w:br/>
        <w:t>- нормативы размера земельного участка для размещения очистных сооружений;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земельных участков для размещения станций очистки воды;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земельного участка для размещения газонаполнительных станций (ГНС); </w:t>
      </w:r>
      <w:r>
        <w:rPr>
          <w:rFonts w:ascii="Times New Roman" w:hAnsi="Times New Roman"/>
          <w:sz w:val="28"/>
          <w:szCs w:val="28"/>
        </w:rPr>
        <w:br/>
        <w:t xml:space="preserve">- нормативы размера земельного участка для размещения газонаполнительных пунктов (ГНП); </w:t>
      </w:r>
      <w:r>
        <w:rPr>
          <w:rFonts w:ascii="Times New Roman" w:hAnsi="Times New Roman"/>
          <w:sz w:val="28"/>
          <w:szCs w:val="28"/>
        </w:rPr>
        <w:br/>
        <w:t xml:space="preserve">- рекомендуемые минимальные расстояния от наземных магистральных газопроводов, не содержащих сероводород; </w:t>
      </w:r>
      <w:r>
        <w:rPr>
          <w:rFonts w:ascii="Times New Roman" w:hAnsi="Times New Roman"/>
          <w:sz w:val="28"/>
          <w:szCs w:val="28"/>
        </w:rPr>
        <w:br/>
        <w:t xml:space="preserve">- рекомендуемые минимальные разрывы от компрессорных станций; </w:t>
      </w:r>
      <w:r>
        <w:rPr>
          <w:rFonts w:ascii="Times New Roman" w:hAnsi="Times New Roman"/>
          <w:sz w:val="28"/>
          <w:szCs w:val="28"/>
        </w:rPr>
        <w:br/>
        <w:t xml:space="preserve">- рекомендуемые минимальные разрывы от газопроводов низкого давления; </w:t>
      </w:r>
      <w:r>
        <w:rPr>
          <w:rFonts w:ascii="Times New Roman" w:hAnsi="Times New Roman"/>
          <w:sz w:val="28"/>
          <w:szCs w:val="28"/>
        </w:rPr>
        <w:br/>
        <w:t xml:space="preserve">- рекомендуемые минимальные разрывы от магистральных трубопроводов для транспортирования нефти; </w:t>
      </w:r>
      <w:r>
        <w:rPr>
          <w:rFonts w:ascii="Times New Roman" w:hAnsi="Times New Roman"/>
          <w:sz w:val="28"/>
          <w:szCs w:val="28"/>
        </w:rPr>
        <w:br/>
        <w:t xml:space="preserve">- рекомендуемые минимальные разрывы от нефтеперекачивающих станций; </w:t>
      </w:r>
      <w:r>
        <w:rPr>
          <w:rFonts w:ascii="Times New Roman" w:hAnsi="Times New Roman"/>
          <w:sz w:val="28"/>
          <w:szCs w:val="28"/>
        </w:rPr>
        <w:br/>
        <w:t xml:space="preserve">- рекомендуемые минимальные разрывы от трубопроводов для сжиженных углеводородных газов. </w:t>
      </w:r>
      <w:r>
        <w:rPr>
          <w:rFonts w:ascii="Times New Roman" w:hAnsi="Times New Roman"/>
          <w:sz w:val="28"/>
          <w:szCs w:val="28"/>
        </w:rPr>
        <w:br/>
        <w:t xml:space="preserve">2. Местные нормативы градостроительного проектирования, содержащие минимальные расчетные показатели обеспечения благоприятных условий </w:t>
      </w:r>
      <w:r>
        <w:rPr>
          <w:rFonts w:ascii="Times New Roman" w:hAnsi="Times New Roman"/>
          <w:sz w:val="28"/>
          <w:szCs w:val="28"/>
        </w:rPr>
        <w:lastRenderedPageBreak/>
        <w:t xml:space="preserve">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3. Порядок подготовки и утверждения </w:t>
      </w:r>
      <w:r>
        <w:rPr>
          <w:rFonts w:ascii="Times New Roman" w:hAnsi="Times New Roman"/>
          <w:sz w:val="28"/>
          <w:szCs w:val="28"/>
        </w:rPr>
        <w:br/>
        <w:t xml:space="preserve">местных нормативов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1. Решение о подготовке местных нормативов градостроительного проектирования принимаются Главой поселения. </w:t>
      </w:r>
      <w:r>
        <w:rPr>
          <w:rFonts w:ascii="Times New Roman" w:hAnsi="Times New Roman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 в области градостроительства, осуществляет организацию работ по разработке проектов местных нормативов градостроительного проектирования, в том числе: </w:t>
      </w:r>
      <w:r>
        <w:rPr>
          <w:rFonts w:ascii="Times New Roman" w:hAnsi="Times New Roman"/>
          <w:sz w:val="28"/>
          <w:szCs w:val="28"/>
        </w:rPr>
        <w:br/>
        <w:t xml:space="preserve">1) организует заключение договоров на подготовку проектов местных нормативов градостроительного проектирования; </w:t>
      </w:r>
      <w:r>
        <w:rPr>
          <w:rFonts w:ascii="Times New Roman" w:hAnsi="Times New Roman"/>
          <w:sz w:val="28"/>
          <w:szCs w:val="28"/>
        </w:rPr>
        <w:br/>
        <w:t xml:space="preserve">2) готовит и утверждает техническое задание на разработку проектов местных нормативов градостроительного проектирования; </w:t>
      </w:r>
      <w:r>
        <w:rPr>
          <w:rFonts w:ascii="Times New Roman" w:hAnsi="Times New Roman"/>
          <w:sz w:val="28"/>
          <w:szCs w:val="28"/>
        </w:rPr>
        <w:br/>
        <w:t xml:space="preserve">3) выступает в качестве заказчика работ по договорам на разработку проектов местных нормативов градостроительного проектирования. </w:t>
      </w:r>
      <w:r>
        <w:rPr>
          <w:rFonts w:ascii="Times New Roman" w:hAnsi="Times New Roman"/>
          <w:sz w:val="28"/>
          <w:szCs w:val="28"/>
        </w:rPr>
        <w:br/>
        <w:t>3.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требования к оформлению и содержанию проектов местных нормативов градостроительного проектирования содержатся в техническом задании на разработку проектов местных нормативов градостроительного проектирования, разработанных в соответствии с настоящим положением. </w:t>
      </w:r>
      <w:r>
        <w:rPr>
          <w:rFonts w:ascii="Times New Roman" w:hAnsi="Times New Roman"/>
          <w:sz w:val="28"/>
          <w:szCs w:val="28"/>
        </w:rPr>
        <w:br/>
        <w:t xml:space="preserve">4. Разработанные в соответствии с техническим заданием местные нормативы градостроительного проектирования согласовываются разработчиком с администрацией поселения. </w:t>
      </w:r>
      <w:r>
        <w:rPr>
          <w:rFonts w:ascii="Times New Roman" w:hAnsi="Times New Roman"/>
          <w:sz w:val="28"/>
          <w:szCs w:val="28"/>
        </w:rPr>
        <w:br/>
        <w:t xml:space="preserve">5. Глава поселения с учетом предоставленного проекта местных нормативов градостроительного проектирования принимает решение о принятии проекта местных нормативов градостроительного проектирования и направлении их на утверждение в Совет или об отклонении такой документации и о направлении ее на доработку. </w:t>
      </w:r>
      <w:r>
        <w:rPr>
          <w:rFonts w:ascii="Times New Roman" w:hAnsi="Times New Roman"/>
          <w:sz w:val="28"/>
          <w:szCs w:val="28"/>
        </w:rPr>
        <w:br/>
        <w:t xml:space="preserve">6. Решение об утверждении местных нормативов градостроительного проектирования принимает Совет  Койданского сельского поселения. </w:t>
      </w:r>
      <w:r>
        <w:rPr>
          <w:rFonts w:ascii="Times New Roman" w:hAnsi="Times New Roman"/>
          <w:sz w:val="28"/>
          <w:szCs w:val="28"/>
        </w:rPr>
        <w:br/>
        <w:t xml:space="preserve">7. Утвержденные Советом местные нормативы градостроительного проектирования подлежат официальному опубликованию в порядке, установленном для нормативных правовых актов, органов местного самоуправления Койданского  сельского поселения и могут, размещаться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udmunicipal</w:t>
      </w:r>
      <w:proofErr w:type="spellEnd"/>
      <w:r>
        <w:rPr>
          <w:rFonts w:ascii="Times New Roman" w:hAnsi="Times New Roman"/>
          <w:sz w:val="28"/>
          <w:szCs w:val="28"/>
        </w:rPr>
        <w:t xml:space="preserve">@mail.ru)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8. Внесение изменений в местные нормативы градостроительного проектирования осуществляется в порядке, предусмотренном настоящим Положением для подготовки и утверждения местных нормативов.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D5659C" w:rsidRDefault="00D5659C" w:rsidP="00D56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9C" w:rsidRDefault="00D5659C" w:rsidP="00D5659C">
      <w:pPr>
        <w:rPr>
          <w:sz w:val="28"/>
          <w:szCs w:val="28"/>
        </w:rPr>
      </w:pPr>
    </w:p>
    <w:p w:rsidR="00376921" w:rsidRDefault="00376921"/>
    <w:sectPr w:rsidR="0037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9C"/>
    <w:rsid w:val="00376921"/>
    <w:rsid w:val="00B3683E"/>
    <w:rsid w:val="00D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1</cp:revision>
  <dcterms:created xsi:type="dcterms:W3CDTF">2014-12-03T11:25:00Z</dcterms:created>
  <dcterms:modified xsi:type="dcterms:W3CDTF">2014-12-03T11:29:00Z</dcterms:modified>
</cp:coreProperties>
</file>