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D" w:rsidRDefault="0005384D" w:rsidP="0005384D">
      <w:pPr>
        <w:jc w:val="right"/>
        <w:rPr>
          <w:rStyle w:val="af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Style w:val="af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84D" w:rsidRPr="00044D17" w:rsidRDefault="0005384D" w:rsidP="0005384D">
      <w:pPr>
        <w:spacing w:after="0"/>
        <w:jc w:val="center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  <w:r w:rsidRP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РОССИЙСКАЯ ФЕДЕРАЦИЯ</w:t>
      </w:r>
    </w:p>
    <w:p w:rsidR="0005384D" w:rsidRPr="00044D17" w:rsidRDefault="0005384D" w:rsidP="0005384D">
      <w:pPr>
        <w:spacing w:after="0"/>
        <w:jc w:val="center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  <w:r w:rsidRP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КАРЧАЕВО-ЧЕРКЕССКАЯ РЕСПУБЛИКА</w:t>
      </w:r>
    </w:p>
    <w:p w:rsidR="0005384D" w:rsidRPr="00044D17" w:rsidRDefault="0005384D" w:rsidP="0005384D">
      <w:pPr>
        <w:spacing w:after="0"/>
        <w:jc w:val="center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  <w:r w:rsidRP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УСТЬ-ДЖЕГУТИНСКИЙ МУНИЦИПАЛЬНЫЙ РАЙОН</w:t>
      </w:r>
    </w:p>
    <w:p w:rsidR="0005384D" w:rsidRPr="00044D17" w:rsidRDefault="0005384D" w:rsidP="0005384D">
      <w:pPr>
        <w:spacing w:after="0"/>
        <w:jc w:val="center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  <w:r w:rsidRP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СОВЕТ КОЙДАНСКОГО СЕЛЬСКОГО ПОСЕЛЕНИЯ</w:t>
      </w:r>
    </w:p>
    <w:p w:rsidR="0005384D" w:rsidRPr="00044D17" w:rsidRDefault="0005384D" w:rsidP="0005384D">
      <w:pPr>
        <w:spacing w:after="0"/>
        <w:jc w:val="center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</w:p>
    <w:p w:rsidR="006B439A" w:rsidRPr="00044D17" w:rsidRDefault="00044D17" w:rsidP="00044D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РЕШЕНИЕ</w:t>
      </w:r>
    </w:p>
    <w:p w:rsidR="006B439A" w:rsidRPr="006B439A" w:rsidRDefault="006B439A" w:rsidP="006B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9A">
        <w:rPr>
          <w:rFonts w:ascii="Times New Roman" w:hAnsi="Times New Roman" w:cs="Times New Roman"/>
          <w:sz w:val="28"/>
          <w:szCs w:val="28"/>
        </w:rPr>
        <w:t xml:space="preserve">      </w:t>
      </w:r>
      <w:r w:rsidR="00133899">
        <w:rPr>
          <w:rFonts w:ascii="Times New Roman" w:hAnsi="Times New Roman" w:cs="Times New Roman"/>
          <w:sz w:val="28"/>
          <w:szCs w:val="28"/>
        </w:rPr>
        <w:t>01.08.</w:t>
      </w:r>
      <w:r w:rsidRPr="006B439A">
        <w:rPr>
          <w:rFonts w:ascii="Times New Roman" w:hAnsi="Times New Roman" w:cs="Times New Roman"/>
          <w:sz w:val="28"/>
          <w:szCs w:val="28"/>
        </w:rPr>
        <w:t xml:space="preserve">2017 г.          </w:t>
      </w:r>
      <w:r w:rsidR="00044D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439A">
        <w:rPr>
          <w:rFonts w:ascii="Times New Roman" w:hAnsi="Times New Roman" w:cs="Times New Roman"/>
          <w:sz w:val="28"/>
          <w:szCs w:val="28"/>
        </w:rPr>
        <w:t xml:space="preserve">с.Койдан                                       №  </w:t>
      </w:r>
      <w:r w:rsidR="00044D17">
        <w:rPr>
          <w:rFonts w:ascii="Times New Roman" w:hAnsi="Times New Roman" w:cs="Times New Roman"/>
          <w:sz w:val="28"/>
          <w:szCs w:val="28"/>
        </w:rPr>
        <w:t>188</w:t>
      </w:r>
    </w:p>
    <w:p w:rsidR="006B439A" w:rsidRDefault="006B439A" w:rsidP="006B439A">
      <w:pPr>
        <w:tabs>
          <w:tab w:val="left" w:pos="5103"/>
        </w:tabs>
        <w:ind w:right="4110"/>
        <w:rPr>
          <w:rFonts w:ascii="Times New Roman" w:hAnsi="Times New Roman" w:cs="Times New Roman"/>
          <w:sz w:val="28"/>
          <w:szCs w:val="28"/>
        </w:rPr>
      </w:pPr>
    </w:p>
    <w:p w:rsidR="00044D17" w:rsidRDefault="006B439A" w:rsidP="00044D17">
      <w:pPr>
        <w:tabs>
          <w:tab w:val="left" w:pos="5103"/>
        </w:tabs>
        <w:spacing w:after="0"/>
        <w:ind w:right="411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439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 Правил по благоустройству </w:t>
      </w:r>
    </w:p>
    <w:p w:rsidR="006B439A" w:rsidRPr="006B439A" w:rsidRDefault="006B439A" w:rsidP="00044D17">
      <w:pPr>
        <w:tabs>
          <w:tab w:val="left" w:pos="5103"/>
        </w:tabs>
        <w:spacing w:after="0"/>
        <w:ind w:right="411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439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территории 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6B439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Койданского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</w:t>
      </w:r>
      <w:r w:rsidRPr="006B439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ния</w:t>
      </w:r>
    </w:p>
    <w:p w:rsidR="006B439A" w:rsidRDefault="006B439A" w:rsidP="00044D17">
      <w:pPr>
        <w:tabs>
          <w:tab w:val="left" w:pos="5245"/>
        </w:tabs>
        <w:spacing w:after="0"/>
        <w:ind w:right="-1" w:firstLine="709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440DE" w:rsidRPr="006B439A" w:rsidRDefault="002440DE" w:rsidP="00044D17">
      <w:pPr>
        <w:tabs>
          <w:tab w:val="left" w:pos="5245"/>
        </w:tabs>
        <w:spacing w:after="0"/>
        <w:ind w:right="-1" w:firstLine="709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439A" w:rsidRPr="006B439A" w:rsidRDefault="006B439A" w:rsidP="006B439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9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</w:t>
        </w:r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рации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Лесным кодексом Российской Федерации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</w:t>
        </w:r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й</w:t>
        </w:r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ской Федерации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4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5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30.03.1999 N 52-ФЗ "О санитарно-эпидемиологическом благополучии насел</w:t>
        </w:r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ния"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6" w:history="1">
        <w:r w:rsidRPr="006B439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10.01.2002 N 7-ФЗ "Об охране окружающей среды"</w:t>
        </w:r>
      </w:hyperlink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нормативными прав</w:t>
      </w:r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выми актами по разделам санитарной очистки, благоустройства и озеленени</w:t>
      </w:r>
      <w:r w:rsidR="00044D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нас</w:t>
      </w:r>
      <w:r w:rsidR="00044D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44D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ленных пунктов, Уставом Койданского сельского поселения, Совет Койданского сельского поселения </w:t>
      </w:r>
    </w:p>
    <w:p w:rsidR="006B439A" w:rsidRPr="006B439A" w:rsidRDefault="006B439A" w:rsidP="006B439A">
      <w:pPr>
        <w:tabs>
          <w:tab w:val="left" w:pos="5245"/>
        </w:tabs>
        <w:ind w:right="-1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43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44D1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РЕШИЛ:</w:t>
      </w:r>
    </w:p>
    <w:p w:rsidR="00754FED" w:rsidRDefault="00A81C67" w:rsidP="00A81C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6B439A" w:rsidRP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«Правила по благоустройству территории Койданского  </w:t>
      </w:r>
    </w:p>
    <w:p w:rsidR="006B439A" w:rsidRPr="00754FED" w:rsidRDefault="006B439A" w:rsidP="00754F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поселения»</w:t>
      </w:r>
      <w:r w:rsid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 №1</w:t>
      </w:r>
      <w:r w:rsid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54FED" w:rsidRPr="00754FED" w:rsidRDefault="00754FED" w:rsidP="006B4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Pr="00754FED">
        <w:rPr>
          <w:rFonts w:ascii="Times New Roman" w:hAnsi="Times New Roman" w:cs="Times New Roman"/>
          <w:color w:val="000000"/>
          <w:sz w:val="28"/>
          <w:szCs w:val="28"/>
        </w:rPr>
        <w:t xml:space="preserve">.Обнародовать данное </w:t>
      </w:r>
      <w:r w:rsidR="00044D17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54FED">
        <w:rPr>
          <w:rFonts w:ascii="Times New Roman" w:hAnsi="Times New Roman" w:cs="Times New Roman"/>
          <w:color w:val="000000"/>
          <w:sz w:val="28"/>
          <w:szCs w:val="28"/>
        </w:rPr>
        <w:t xml:space="preserve">   в установленном законом порядке   и разм</w:t>
      </w:r>
      <w:r w:rsidRPr="00754F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54FED">
        <w:rPr>
          <w:rFonts w:ascii="Times New Roman" w:hAnsi="Times New Roman" w:cs="Times New Roman"/>
          <w:color w:val="000000"/>
          <w:sz w:val="28"/>
          <w:szCs w:val="28"/>
        </w:rPr>
        <w:t>стить на официальном сайте Койданского сельского поселения в сети Интернет.</w:t>
      </w:r>
    </w:p>
    <w:p w:rsidR="00754FED" w:rsidRPr="00754FED" w:rsidRDefault="00754FED" w:rsidP="00754F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3.</w:t>
      </w:r>
      <w:r w:rsidRP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выполнением настоящего </w:t>
      </w:r>
      <w:r w:rsidR="00044D17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решения</w:t>
      </w:r>
      <w:r w:rsidRPr="00754FE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 оставляю за собой.</w:t>
      </w:r>
    </w:p>
    <w:p w:rsidR="00754FED" w:rsidRPr="00754FED" w:rsidRDefault="00754FED" w:rsidP="006B4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4FED" w:rsidRPr="00754FED" w:rsidRDefault="00754FED" w:rsidP="006B4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4FED" w:rsidRPr="00A81C67" w:rsidRDefault="00044D17" w:rsidP="006B4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A81C67" w:rsidRDefault="006B439A" w:rsidP="006B439A">
      <w:pPr>
        <w:tabs>
          <w:tab w:val="left" w:pos="1134"/>
        </w:tabs>
        <w:spacing w:after="0" w:line="240" w:lineRule="auto"/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</w:pPr>
      <w:r w:rsidRPr="006B439A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Глав</w:t>
      </w:r>
      <w:r w:rsid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81C6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B439A" w:rsidRPr="006B439A" w:rsidRDefault="00A81C67" w:rsidP="006B439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Койданского  </w:t>
      </w:r>
      <w:r w:rsidR="006B439A" w:rsidRPr="006B439A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                               </w:t>
      </w:r>
      <w:r w:rsidR="00044D17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А.М.Болатчиев</w:t>
      </w:r>
      <w:r w:rsidR="006B439A" w:rsidRPr="006B439A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B439A" w:rsidRPr="006B439A" w:rsidRDefault="006B439A" w:rsidP="006B439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B439A" w:rsidRPr="006B439A" w:rsidRDefault="006B439A" w:rsidP="006B439A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6B439A" w:rsidRPr="006B439A" w:rsidRDefault="006B439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439A" w:rsidRPr="006B439A" w:rsidRDefault="006B439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439A" w:rsidRPr="006B439A" w:rsidRDefault="006B439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439A" w:rsidRDefault="006B439A" w:rsidP="00A81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9A" w:rsidRDefault="006B439A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4053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9688A" w:rsidRPr="002F4053" w:rsidRDefault="001C0D65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9688A" w:rsidRPr="002F4053" w:rsidRDefault="002440DE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2F4053" w:rsidRDefault="00AC067D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29B">
        <w:rPr>
          <w:rFonts w:ascii="Times New Roman" w:hAnsi="Times New Roman" w:cs="Times New Roman"/>
          <w:sz w:val="24"/>
          <w:szCs w:val="24"/>
        </w:rPr>
        <w:t xml:space="preserve"> Койданского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D65">
        <w:rPr>
          <w:rFonts w:ascii="Times New Roman" w:hAnsi="Times New Roman" w:cs="Times New Roman"/>
          <w:sz w:val="24"/>
          <w:szCs w:val="24"/>
        </w:rPr>
        <w:t xml:space="preserve"> </w:t>
      </w:r>
      <w:r w:rsidR="002F40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7060" w:rsidRPr="002F4053" w:rsidRDefault="00133899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8A" w:rsidRPr="002F4053" w:rsidRDefault="00133899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688A" w:rsidRPr="002F40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01.08.2017</w:t>
      </w:r>
      <w:r w:rsidR="00A9688A" w:rsidRPr="002F4053">
        <w:rPr>
          <w:rFonts w:ascii="Times New Roman" w:hAnsi="Times New Roman" w:cs="Times New Roman"/>
          <w:sz w:val="24"/>
          <w:szCs w:val="24"/>
        </w:rPr>
        <w:t xml:space="preserve"> N </w:t>
      </w:r>
      <w:r w:rsidR="001E41B4">
        <w:rPr>
          <w:rFonts w:ascii="Times New Roman" w:hAnsi="Times New Roman" w:cs="Times New Roman"/>
          <w:sz w:val="24"/>
          <w:szCs w:val="24"/>
        </w:rPr>
        <w:t xml:space="preserve"> </w:t>
      </w:r>
      <w:r w:rsidR="002440DE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88A" w:rsidRPr="002F4053" w:rsidRDefault="00A9688A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r w:rsidR="00AC0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9B">
        <w:rPr>
          <w:rFonts w:ascii="Times New Roman" w:hAnsi="Times New Roman" w:cs="Times New Roman"/>
          <w:b/>
          <w:sz w:val="24"/>
          <w:szCs w:val="24"/>
        </w:rPr>
        <w:t xml:space="preserve"> Койданского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вила) разработаны в соответствии с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8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9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(включая ж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 и периодичность их выполнения;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указат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меропри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размещения о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ветствующих категории, установленной для ремонтируемой дороги, без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территории и ее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которых осуществляется деятельность по благоустройству: площадки, дворы, кварталы, фун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территории, выделяемые по принципу единой градостроительной регламентации (охранные зоны) или виз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ально-пространственного восприятия (площадь с застройкой, улица с прилегающей территорией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ленного пункта, технические (охранно-эксплуатационные) зоны инженерных коммуникаций;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25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влетворения личных и бытовых нужд. 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ступны для населения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зеленые насаждения - древесная, древесно-кустарниковая, кустарниковая и травянистая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растительность;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прилотковая часть дороги - территория автомобильной дороги вдоль бордюрного камня тротуара или газона шириной один метр;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r w:rsidR="006477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Койданского</w:t>
      </w:r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прилегающих территорий определяются по согласованию с собственниками зданий (помещений в них) и с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оружений, участвующих в благоустройстве данных территорий. Граница и содержание прилег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ющих к многоквартирному жилому дому территорий определяется решением собственников п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-создание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др)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(безбарьерного)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проведения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исключением земельных участков, принадлежащих физическим лицам и хозяйствующим субъектам на праве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пользования хозяйствующие субъекты и физические лица вправе заключать с администрацией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шение о благоустройстве (уборке) территории общего пользования. Неотъемлемой частью 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6477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организац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ей похоронного дела (на кладбищах), строительством (на строительных площадках на период строительства); связанную с проведением публично-массовых мероприятий, с посещением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лением стационарных торговых объектов, стационарных объектов общественного питания и 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обработку противогололедными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земных коммуникаций (сооружений) в соответствии с требованиями ГОСТ Р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ГОСТ Р 50597-93 "Автомобильные дороги и улицы. 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 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Смотровые и дождеприемные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 не более трех часов. 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приямки, входы в подвальные помещения и мусорокамеры;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цоколь и отмостка;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архитектурные детали и облицовка (в том числе колонны, пилястры, розетки, капители, 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водосточные трубы, включая отметы и воронки;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12) навесные металлические конструкции (в том числе флагодержатели,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лических конструкций (в том числе флагодержателей,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становлению. 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 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за выполнение данных требований возлагается на собственников, 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26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окашивание;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>5) оборудовать в соответствии с санитарными нормами в пределах землеотвода при отсутствии централизованного канализования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 xml:space="preserve">Собственникам частных жилых домов запрещается складировать на прилегающей </w:t>
      </w:r>
      <w:r w:rsidR="00BC5CFF" w:rsidRPr="002F4053">
        <w:rPr>
          <w:spacing w:val="2"/>
        </w:rPr>
        <w:lastRenderedPageBreak/>
        <w:t>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Наружное освещение подразделяется на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 xml:space="preserve">Размещение уличных фонарей, торшеров,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>.7. 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 вид, очищены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высокомачтовых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решении светокомпозиционных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высоте, снабженными разноспектральными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>Решетки дождеприемных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ную способность. Профилактическое обследование смотровых и дождеприемных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lastRenderedPageBreak/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r w:rsidR="0064776C">
        <w:rPr>
          <w:b/>
          <w:spacing w:val="2"/>
        </w:rPr>
        <w:t>Койданского</w:t>
      </w:r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использования показателей нормативных объемов накопления отходов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случае,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уличную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lastRenderedPageBreak/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>2) обработка проезжей части дорог, территорий общего пользования противогололедными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>2) зачистка прилотковой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>На дорогах,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противогололедными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пада. При длительных снегопадах циклы снегоочистки и обработки противогололедными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рабатываться противогололедными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 только пескосоляной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 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 лицами, в собственности, аренде либо на ином вещном праве которых находятся дома, здания, строения, сооружения. 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 должны быть убраны от снега и посыпаны противогололедными материалами. 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r w:rsidR="00BC5CFF" w:rsidRPr="002F4053">
        <w:rPr>
          <w:spacing w:val="2"/>
        </w:rPr>
        <w:t xml:space="preserve"> Обязанность по уборке и вывозу снега из прилотковой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производить очистку от снега и наледи и обработку противогололедными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территорий противогололедными материалами. 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>3) зачистка прилотковой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сгребание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>Удаление смета из прилотковой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дождеприемных колодцев должны постоянно очищаться от смета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r w:rsidR="00BC5CFF" w:rsidRPr="002F4053">
        <w:rPr>
          <w:spacing w:val="2"/>
        </w:rPr>
        <w:t>Окос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lastRenderedPageBreak/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7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внутридворовых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неканализованных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зов, водосточных труб от нависшего снега и наледи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сельского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lastRenderedPageBreak/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>4.24. 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порядке);</w:t>
      </w:r>
      <w:r w:rsidR="00A47AAC" w:rsidRPr="002F4053">
        <w:rPr>
          <w:spacing w:val="2"/>
        </w:rPr>
        <w:br/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lastRenderedPageBreak/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4.30. 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r w:rsidR="00A47AAC" w:rsidRPr="002F4053">
        <w:rPr>
          <w:spacing w:val="2"/>
        </w:rPr>
        <w:t xml:space="preserve"> Сбор отходов нефтепродуктов и нефтезагрязненных отходов (в т.ч.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для установки мусоросборных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Площадки для установки мусоросборных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ственного за качественную и своевременную работу по содержанию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онные, районные), приобъектных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полуприватных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жений во внутриквартальных и внутр</w:t>
      </w:r>
      <w:r w:rsidR="00B77CD7" w:rsidRPr="002F4053">
        <w:rPr>
          <w:spacing w:val="2"/>
        </w:rPr>
        <w:t>идворовых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Усть</w:t>
      </w:r>
      <w:r w:rsidR="00411E9C">
        <w:rPr>
          <w:spacing w:val="2"/>
        </w:rPr>
        <w:t xml:space="preserve"> </w:t>
      </w:r>
      <w:r w:rsidR="001F6C19">
        <w:rPr>
          <w:spacing w:val="2"/>
        </w:rPr>
        <w:t>-</w:t>
      </w:r>
      <w:r w:rsidR="00411E9C">
        <w:rPr>
          <w:spacing w:val="2"/>
        </w:rPr>
        <w:t>Джегутинского</w:t>
      </w:r>
      <w:r w:rsidR="001F6C19">
        <w:rPr>
          <w:spacing w:val="2"/>
        </w:rPr>
        <w:t xml:space="preserve"> муниципальн</w:t>
      </w:r>
      <w:r w:rsidR="001F6C19">
        <w:rPr>
          <w:spacing w:val="2"/>
        </w:rPr>
        <w:t>о</w:t>
      </w:r>
      <w:r w:rsidR="001F6C19">
        <w:rPr>
          <w:spacing w:val="2"/>
        </w:rPr>
        <w:t>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скамейкам: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и поручней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отсутствие спинок и поручней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>кие виды покрытия. При наличии фундамента его части рекомендуется выполнять не выступа</w:t>
      </w:r>
      <w:r w:rsidRPr="002F4053">
        <w:t>ю</w:t>
      </w:r>
      <w:r w:rsidRPr="002F4053">
        <w:t>щими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рельефного текстурирования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цветочницам (вазонам), в том числе к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цветочницы (вазоны) должны иметь достаточную высоту ― для предотвращения случайного наезда автомобилей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>-  дизайн (цвет, форма) цветочниц (вазонов) не должен отвлекать внимание от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цветочницы и кашпо зимой необходимо хранить в помещении или заменять в них цветы хвойными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людей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мощные заграждения от автомобилей;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цветочницы(вазоны)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велоинфраструктура.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документации и ее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>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</w:t>
      </w:r>
      <w:r w:rsidRPr="002F4053">
        <w:rPr>
          <w:spacing w:val="2"/>
        </w:rPr>
        <w:lastRenderedPageBreak/>
        <w:t>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</w:t>
      </w:r>
      <w:r w:rsidRPr="002F4053">
        <w:rPr>
          <w:spacing w:val="2"/>
        </w:rPr>
        <w:t>у</w:t>
      </w:r>
      <w:r w:rsidRPr="002F4053">
        <w:rPr>
          <w:spacing w:val="2"/>
        </w:rPr>
        <w:t>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</w:t>
      </w:r>
      <w:r w:rsidR="009F38F9" w:rsidRPr="002F4053">
        <w:rPr>
          <w:spacing w:val="2"/>
        </w:rPr>
        <w:t>к</w:t>
      </w:r>
      <w:r w:rsidR="009F38F9" w:rsidRPr="002F4053">
        <w:rPr>
          <w:spacing w:val="2"/>
        </w:rPr>
        <w:t>турные подразделения администрации и организации, если иное не предусмотрено действу</w:t>
      </w:r>
      <w:r w:rsidR="009F38F9" w:rsidRPr="002F4053">
        <w:rPr>
          <w:spacing w:val="2"/>
        </w:rPr>
        <w:t>ю</w:t>
      </w:r>
      <w:r w:rsidR="009F38F9" w:rsidRPr="002F4053">
        <w:rPr>
          <w:spacing w:val="2"/>
        </w:rPr>
        <w:t>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>) обеспечивать удаление (снос) аварийных, старовозрастных,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>) проводить стрижку и окос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</w:r>
      <w:r w:rsidRPr="002F4053">
        <w:rPr>
          <w:spacing w:val="2"/>
        </w:rPr>
        <w:lastRenderedPageBreak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>1) устройство катков, организация игр (в т.ч.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r w:rsidRPr="002F4053">
        <w:rPr>
          <w:spacing w:val="2"/>
        </w:rPr>
        <w:br/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>ных щитов, электропроводов, электрогирлянд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r w:rsidRPr="002F4053">
        <w:rPr>
          <w:spacing w:val="2"/>
        </w:rPr>
        <w:br/>
        <w:t xml:space="preserve">11) производство новых посадок зеленых насаждений без согласования с администрацией </w:t>
      </w:r>
      <w:r w:rsidR="0064776C">
        <w:rPr>
          <w:spacing w:val="2"/>
        </w:rPr>
        <w:t>Ко</w:t>
      </w:r>
      <w:r w:rsidR="0064776C">
        <w:rPr>
          <w:spacing w:val="2"/>
        </w:rPr>
        <w:t>й</w:t>
      </w:r>
      <w:r w:rsidR="0064776C">
        <w:rPr>
          <w:spacing w:val="2"/>
        </w:rPr>
        <w:t>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>3) заезжать и ездить на автомобилях и спецтехнике, мотоциклах, скутерах, квадроциклах,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>) твердые (капитальные) покрытия - монолитные или сборные покрытия, выполняемые в том числе из асфальтобетона, цементобетона,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ных сыпучих материалов (в том числе песок, щебень, гранитные высевки, керамзит, резиновая </w:t>
      </w:r>
      <w:r w:rsidR="00BC5CFF" w:rsidRPr="002F4053">
        <w:rPr>
          <w:spacing w:val="2"/>
        </w:rPr>
        <w:lastRenderedPageBreak/>
        <w:t>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Применяемый в проектной документации вид покрытия должен быть прочным, 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топригодным, экологичным,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>Для деревьев, расположенных в мощении, при отсутствии иных видов защиты (в т.ч. приствольных решеток, бордюров, периметральных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Архитектурно-художественное решение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r w:rsidR="0064776C">
        <w:rPr>
          <w:spacing w:val="2"/>
        </w:rPr>
        <w:t>Койда</w:t>
      </w:r>
      <w:r w:rsidR="0064776C">
        <w:rPr>
          <w:spacing w:val="2"/>
        </w:rPr>
        <w:t>н</w:t>
      </w:r>
      <w:r w:rsidR="0064776C">
        <w:rPr>
          <w:spacing w:val="2"/>
        </w:rPr>
        <w:t>ского</w:t>
      </w:r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примагистральных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никаций (в т.ч.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992A70">
        <w:rPr>
          <w:spacing w:val="2"/>
        </w:rPr>
        <w:t>тва и архитектуры Усть-Джегутин</w:t>
      </w:r>
      <w:r w:rsidR="00EB5034">
        <w:rPr>
          <w:spacing w:val="2"/>
        </w:rPr>
        <w:t xml:space="preserve">ского </w:t>
      </w:r>
      <w:r w:rsidR="00992A70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ется размещение планируемых зданий и сооружений, а также их элементов (в т.ч.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>2) устройство опорных элементов (в т.ч.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ходной среды -создание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 составе общественных и полуприватных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Р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проступей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>е 50 м, а при жилых зданиях –</w:t>
      </w:r>
      <w:r w:rsidR="00871020" w:rsidRPr="002F4053">
        <w:rPr>
          <w:b w:val="0"/>
          <w:spacing w:val="2"/>
          <w:sz w:val="24"/>
          <w:szCs w:val="24"/>
        </w:rPr>
        <w:t xml:space="preserve">не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r w:rsidR="0064776C">
        <w:rPr>
          <w:spacing w:val="2"/>
          <w:sz w:val="24"/>
          <w:szCs w:val="24"/>
        </w:rPr>
        <w:t>Койданского</w:t>
      </w:r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утверждаемыми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сти между собой должны быть упорядочены по цветографике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новка неподалеку от объекта афишной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Размещение малоформатной листовой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Уличное искусство (стрит-арт, граффити, мурали)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объектов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печивать своевременную замену перегоревших газосветовых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Работа с местными СМИ, охватывающими широкий круг людей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Вывешивание афиш и объявлений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мов, расположенных в непосредственной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альных стендах на самом объекте; в местах притяжения и скопления людей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суждений (в зоне входной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Информирование местных жителей через школы и детские сады. В том числе -школьные проекты: организация конкурса рисунков. Сборы пожеланий,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ектов, распространение анкет и приглашения для родителей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Индивидуальные приглашения участников встречи лично, по электронной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Использование социальных сетей и интернет-ресурсов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Установка интерактивных стендов с устройствами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ний в центрах общественной жизни и местах пребывания большого количества людей.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Установка специальных информационных стендов в местах с большой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стью, на территории самого объекта проектирования. Стенды могут работать как для сбора анкет, информации и обратной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(воркшопов),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дение общественных обсуждений, проведение дизайн-игр с участием взрослых и детей,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 итогам встреч, проектных семинаров, воркшопов,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вития проекта, а также комментировать и включаться в этот процесс на любом этапе.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ект не позднее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фото-, видеофиксации,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контроля за соблюдением правил 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Ко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й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данского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8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Контроль за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r w:rsidR="0064776C">
        <w:rPr>
          <w:spacing w:val="2"/>
        </w:rPr>
        <w:t>Койданского</w:t>
      </w:r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9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контроля за соблюдением Правил благоустройства территории </w:t>
      </w:r>
      <w:r w:rsidR="0064776C">
        <w:rPr>
          <w:rFonts w:ascii="Times New Roman" w:hAnsi="Times New Roman" w:cs="Times New Roman"/>
          <w:spacing w:val="2"/>
          <w:sz w:val="24"/>
          <w:szCs w:val="24"/>
        </w:rPr>
        <w:t>Койданского</w:t>
      </w:r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30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контроля за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6C">
        <w:rPr>
          <w:rFonts w:ascii="Times New Roman" w:hAnsi="Times New Roman" w:cs="Times New Roman"/>
          <w:spacing w:val="2"/>
          <w:sz w:val="24"/>
          <w:szCs w:val="24"/>
        </w:rPr>
        <w:t>Койданского</w:t>
      </w:r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31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нарушения Правил к акту выявления нарушения Правил прилагается фототаблица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меры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неочисткой крыш зданий от снега и наледи - срок устранения нарушения устанавливается от одного часа до одних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материалов, размещенных с нарушением Правил благоустройства территории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4776C">
        <w:rPr>
          <w:rFonts w:ascii="Times New Roman" w:hAnsi="Times New Roman" w:cs="Times New Roman"/>
          <w:spacing w:val="2"/>
        </w:rPr>
        <w:t>Койданск</w:t>
      </w:r>
      <w:r w:rsidR="0064776C">
        <w:rPr>
          <w:rFonts w:ascii="Times New Roman" w:hAnsi="Times New Roman" w:cs="Times New Roman"/>
          <w:spacing w:val="2"/>
        </w:rPr>
        <w:t>о</w:t>
      </w:r>
      <w:r w:rsidR="0064776C">
        <w:rPr>
          <w:rFonts w:ascii="Times New Roman" w:hAnsi="Times New Roman" w:cs="Times New Roman"/>
          <w:spacing w:val="2"/>
        </w:rPr>
        <w:t>го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существе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повреждения), перемещение на хранение указанных информационных материалов, с внес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4776C">
        <w:rPr>
          <w:rFonts w:ascii="Times New Roman" w:hAnsi="Times New Roman" w:cs="Times New Roman"/>
          <w:spacing w:val="2"/>
        </w:rPr>
        <w:t>Койданского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ционно-телекоммуникационной сети "Интернет" (далее - портал) в целях возврата информацио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лицу, допустившему нарушение. Лицо, допустившее нарушение, вправе обр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за возвратом информационных материалов в течение 14 дней со дня размещения вышеук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фотофиксация.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Правил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6C">
        <w:rPr>
          <w:rFonts w:ascii="Times New Roman" w:hAnsi="Times New Roman" w:cs="Times New Roman"/>
          <w:spacing w:val="2"/>
        </w:rPr>
        <w:t>Койданского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путем ведения журнала выявленных нарушений Правил (приложение 4 к Порядку), хран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всех относящихся к проведенным мероприятиям документов (в том числе актов, копий пре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писаний, почтовых уведомлений и др.), также осуществляет сбор и обобщение информации о 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4776C">
        <w:rPr>
          <w:rFonts w:ascii="Times New Roman" w:hAnsi="Times New Roman" w:cs="Times New Roman"/>
          <w:spacing w:val="2"/>
        </w:rPr>
        <w:t>Койданского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числа очередного месяца осуществляет подготовку отчета 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</w:t>
      </w:r>
      <w:r w:rsidR="005D3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33E4" w:rsidRDefault="005D33E4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Койданского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час. "____" мин.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20___ 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юр.лица, Ф.И.О. представителя(работника) юр.лица, Ф.И.О. 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территории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благоустройства территории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выявления нарушения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64776C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Койданского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фототаблицу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76C">
        <w:rPr>
          <w:rFonts w:ascii="Times New Roman" w:hAnsi="Times New Roman" w:cs="Times New Roman"/>
          <w:spacing w:val="2"/>
        </w:rPr>
        <w:t>Койданского</w:t>
      </w:r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04D3A" w:rsidRDefault="00FF2160" w:rsidP="00404D3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2160" w:rsidRPr="002F4053" w:rsidRDefault="0064776C" w:rsidP="00404D3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Койданского</w:t>
      </w:r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юридический адрес,Ф.И.О.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каб., телефон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6C">
        <w:rPr>
          <w:rFonts w:ascii="Times New Roman" w:hAnsi="Times New Roman" w:cs="Times New Roman"/>
          <w:b/>
          <w:spacing w:val="2"/>
          <w:sz w:val="24"/>
          <w:szCs w:val="24"/>
        </w:rPr>
        <w:t>Койданского</w:t>
      </w:r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о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к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5D33E4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наружного освещения, сетей ливневой канализации, смотровых и ливневых к</w:t>
            </w:r>
            <w:r w:rsidRPr="002F4053">
              <w:rPr>
                <w:bCs w:val="0"/>
                <w:spacing w:val="2"/>
                <w:sz w:val="24"/>
                <w:szCs w:val="24"/>
              </w:rPr>
              <w:t>о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лодцев, водоотводящих сооружений, садово-парковой мебели, садово-паркового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внешнему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установки мусоросборных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и механизмы общественного участия в принятии  решений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411E9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B70BD4" w:rsidRPr="002F4053" w:rsidRDefault="00B70BD4" w:rsidP="001E41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footerReference w:type="default" r:id="rId32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A" w:rsidRDefault="00255A5A" w:rsidP="00F64A57">
      <w:pPr>
        <w:spacing w:after="0" w:line="240" w:lineRule="auto"/>
      </w:pPr>
      <w:r>
        <w:separator/>
      </w:r>
    </w:p>
  </w:endnote>
  <w:endnote w:type="continuationSeparator" w:id="0">
    <w:p w:rsidR="00255A5A" w:rsidRDefault="00255A5A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1E41B4" w:rsidRDefault="001E41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62">
          <w:rPr>
            <w:noProof/>
          </w:rPr>
          <w:t>2</w:t>
        </w:r>
        <w:r>
          <w:fldChar w:fldCharType="end"/>
        </w:r>
      </w:p>
    </w:sdtContent>
  </w:sdt>
  <w:p w:rsidR="001E41B4" w:rsidRDefault="001E41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A" w:rsidRDefault="00255A5A" w:rsidP="00F64A57">
      <w:pPr>
        <w:spacing w:after="0" w:line="240" w:lineRule="auto"/>
      </w:pPr>
      <w:r>
        <w:separator/>
      </w:r>
    </w:p>
  </w:footnote>
  <w:footnote w:type="continuationSeparator" w:id="0">
    <w:p w:rsidR="00255A5A" w:rsidRDefault="00255A5A" w:rsidP="00F6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38804757"/>
    <w:multiLevelType w:val="hybridMultilevel"/>
    <w:tmpl w:val="CA3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49E475D1"/>
    <w:multiLevelType w:val="hybridMultilevel"/>
    <w:tmpl w:val="CA3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3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6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2441B"/>
    <w:rsid w:val="00041963"/>
    <w:rsid w:val="00044D17"/>
    <w:rsid w:val="00050E99"/>
    <w:rsid w:val="0005384D"/>
    <w:rsid w:val="00053855"/>
    <w:rsid w:val="00055040"/>
    <w:rsid w:val="000A04D9"/>
    <w:rsid w:val="000E19B5"/>
    <w:rsid w:val="000F1EE3"/>
    <w:rsid w:val="00102B31"/>
    <w:rsid w:val="00133899"/>
    <w:rsid w:val="00142881"/>
    <w:rsid w:val="0015130C"/>
    <w:rsid w:val="00176854"/>
    <w:rsid w:val="0018085B"/>
    <w:rsid w:val="001943DB"/>
    <w:rsid w:val="001A35DB"/>
    <w:rsid w:val="001C0D65"/>
    <w:rsid w:val="001C556C"/>
    <w:rsid w:val="001D0A21"/>
    <w:rsid w:val="001D5907"/>
    <w:rsid w:val="001E41B4"/>
    <w:rsid w:val="001F10FD"/>
    <w:rsid w:val="001F3145"/>
    <w:rsid w:val="001F6C19"/>
    <w:rsid w:val="002063FE"/>
    <w:rsid w:val="00207060"/>
    <w:rsid w:val="002403DB"/>
    <w:rsid w:val="00241F41"/>
    <w:rsid w:val="002440DE"/>
    <w:rsid w:val="00251DF3"/>
    <w:rsid w:val="00255A5A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3043"/>
    <w:rsid w:val="00346442"/>
    <w:rsid w:val="00380B96"/>
    <w:rsid w:val="00394060"/>
    <w:rsid w:val="003A45FB"/>
    <w:rsid w:val="003B0231"/>
    <w:rsid w:val="003D1E27"/>
    <w:rsid w:val="003D3C06"/>
    <w:rsid w:val="003D3CF5"/>
    <w:rsid w:val="003E427A"/>
    <w:rsid w:val="003E59B5"/>
    <w:rsid w:val="00404D3A"/>
    <w:rsid w:val="0040750D"/>
    <w:rsid w:val="0041008E"/>
    <w:rsid w:val="00411E9C"/>
    <w:rsid w:val="00412D57"/>
    <w:rsid w:val="00413868"/>
    <w:rsid w:val="00413BBE"/>
    <w:rsid w:val="00423BBF"/>
    <w:rsid w:val="00461927"/>
    <w:rsid w:val="004B2CFA"/>
    <w:rsid w:val="004B401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1737"/>
    <w:rsid w:val="005B3F7E"/>
    <w:rsid w:val="005D33E4"/>
    <w:rsid w:val="005D76A3"/>
    <w:rsid w:val="006021B7"/>
    <w:rsid w:val="00621592"/>
    <w:rsid w:val="0063131E"/>
    <w:rsid w:val="0064776C"/>
    <w:rsid w:val="00676B45"/>
    <w:rsid w:val="006A629B"/>
    <w:rsid w:val="006B439A"/>
    <w:rsid w:val="006C1C94"/>
    <w:rsid w:val="006C78A1"/>
    <w:rsid w:val="00704BAC"/>
    <w:rsid w:val="00705357"/>
    <w:rsid w:val="00707A80"/>
    <w:rsid w:val="007101EC"/>
    <w:rsid w:val="00711460"/>
    <w:rsid w:val="00733BB9"/>
    <w:rsid w:val="00754FED"/>
    <w:rsid w:val="00766634"/>
    <w:rsid w:val="00795FB4"/>
    <w:rsid w:val="007A0A71"/>
    <w:rsid w:val="007A7D3F"/>
    <w:rsid w:val="007D2081"/>
    <w:rsid w:val="007F2CD5"/>
    <w:rsid w:val="00801F21"/>
    <w:rsid w:val="00871020"/>
    <w:rsid w:val="008B7963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6573E"/>
    <w:rsid w:val="00992A70"/>
    <w:rsid w:val="009C1DCC"/>
    <w:rsid w:val="009C7E6C"/>
    <w:rsid w:val="009E66E8"/>
    <w:rsid w:val="009F38F9"/>
    <w:rsid w:val="009F68B4"/>
    <w:rsid w:val="00A308FF"/>
    <w:rsid w:val="00A46513"/>
    <w:rsid w:val="00A47AAC"/>
    <w:rsid w:val="00A50115"/>
    <w:rsid w:val="00A5028F"/>
    <w:rsid w:val="00A56E9F"/>
    <w:rsid w:val="00A65379"/>
    <w:rsid w:val="00A721CB"/>
    <w:rsid w:val="00A81C67"/>
    <w:rsid w:val="00A858F5"/>
    <w:rsid w:val="00A9688A"/>
    <w:rsid w:val="00AA491E"/>
    <w:rsid w:val="00AC067D"/>
    <w:rsid w:val="00AC2074"/>
    <w:rsid w:val="00AD0305"/>
    <w:rsid w:val="00AD7A7E"/>
    <w:rsid w:val="00AF0BCC"/>
    <w:rsid w:val="00B005DD"/>
    <w:rsid w:val="00B229D7"/>
    <w:rsid w:val="00B235D3"/>
    <w:rsid w:val="00B251D6"/>
    <w:rsid w:val="00B31658"/>
    <w:rsid w:val="00B538B5"/>
    <w:rsid w:val="00B65A96"/>
    <w:rsid w:val="00B65FF0"/>
    <w:rsid w:val="00B70BD4"/>
    <w:rsid w:val="00B77CD7"/>
    <w:rsid w:val="00B94323"/>
    <w:rsid w:val="00BA4A4C"/>
    <w:rsid w:val="00BB05C9"/>
    <w:rsid w:val="00BB13A3"/>
    <w:rsid w:val="00BB7150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278D8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44562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4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6B439A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4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6B439A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94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17047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hyperlink" Target="http://docs.cntd.ru/document/90171159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8297" TargetMode="External"/><Relationship Id="rId20" Type="http://schemas.openxmlformats.org/officeDocument/2006/relationships/hyperlink" Target="http://docs.cntd.ru/document/902017047" TargetMode="External"/><Relationship Id="rId29" Type="http://schemas.openxmlformats.org/officeDocument/2006/relationships/hyperlink" Target="http://docs.cntd.ru/document/8190773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1808297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29631" TargetMode="External"/><Relationship Id="rId23" Type="http://schemas.openxmlformats.org/officeDocument/2006/relationships/hyperlink" Target="http://docs.cntd.ru/document/901729631" TargetMode="External"/><Relationship Id="rId28" Type="http://schemas.openxmlformats.org/officeDocument/2006/relationships/hyperlink" Target="http://docs.cntd.ru/document/819077396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hyperlink" Target="http://docs.cntd.ru/document/8190773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hyperlink" Target="http://docs.cntd.ru/document/901877221" TargetMode="External"/><Relationship Id="rId30" Type="http://schemas.openxmlformats.org/officeDocument/2006/relationships/hyperlink" Target="http://docs.cntd.ru/document/81907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ED5C-730C-4235-808A-9AEBDFE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26832</Words>
  <Characters>152948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Эльза</cp:lastModifiedBy>
  <cp:revision>2</cp:revision>
  <cp:lastPrinted>2017-08-14T18:38:00Z</cp:lastPrinted>
  <dcterms:created xsi:type="dcterms:W3CDTF">2017-12-12T07:44:00Z</dcterms:created>
  <dcterms:modified xsi:type="dcterms:W3CDTF">2017-12-12T07:44:00Z</dcterms:modified>
</cp:coreProperties>
</file>